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考期安排</w:t>
      </w:r>
    </w:p>
    <w:p>
      <w:pPr>
        <w:spacing w:line="580" w:lineRule="exact"/>
        <w:jc w:val="both"/>
        <w:rPr>
          <w:rFonts w:ascii="楷体_GB2312" w:hAnsi="楷体" w:eastAsia="楷体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845"/>
        <w:gridCol w:w="2085"/>
        <w:gridCol w:w="3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批次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报名日期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考核日期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日至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日开始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各等级理论和实操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" w:leftChars="-95" w:right="-307" w:rightChars="-146" w:hanging="198" w:hangingChars="71"/>
        <w:textAlignment w:val="auto"/>
        <w:outlineLvl w:val="9"/>
        <w:rPr>
          <w:rFonts w:hint="eastAsia" w:ascii="楷体_GB2312" w:hAnsi="楷体" w:eastAsia="楷体_GB2312"/>
          <w:sz w:val="28"/>
          <w:szCs w:val="28"/>
          <w:lang w:eastAsia="zh-CN"/>
        </w:rPr>
      </w:pPr>
      <w:r>
        <w:rPr>
          <w:rFonts w:hint="eastAsia" w:ascii="楷体_GB2312" w:hAnsi="楷体" w:eastAsia="楷体_GB2312"/>
          <w:sz w:val="28"/>
          <w:szCs w:val="28"/>
          <w:lang w:eastAsia="zh-CN"/>
        </w:rPr>
        <w:t>备注：根据各批职业资格评价技师、高级技师理论、实操考核评价结果，</w:t>
      </w:r>
    </w:p>
    <w:p>
      <w:r>
        <w:rPr>
          <w:rFonts w:hint="eastAsia" w:ascii="楷体_GB2312" w:hAnsi="楷体" w:eastAsia="楷体_GB2312"/>
          <w:sz w:val="28"/>
          <w:szCs w:val="28"/>
          <w:lang w:eastAsia="zh-CN"/>
        </w:rPr>
        <w:t>安排综合评审科目考核。</w:t>
      </w:r>
      <w:r>
        <w:rPr>
          <w:rFonts w:hint="eastAsia" w:ascii="楷体_GB2312" w:hAnsi="楷体" w:eastAsia="楷体_GB2312"/>
          <w:sz w:val="28"/>
          <w:szCs w:val="28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2006E"/>
    <w:rsid w:val="578632EA"/>
    <w:rsid w:val="59420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2021-04-30T02:07:00Z</dcterms:created>
  <dc:creator>日^月</dc:creator>
  <cp:lastModifiedBy>HiWin10</cp:lastModifiedBy>
  <dcterms:modified xsi:type="dcterms:W3CDTF">2021-04-30T09:03:22Z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3ECE8549B10B4CAAB151005B6064CEE5</vt:lpwstr>
  </property>
</Properties>
</file>